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764908" w:rsidP="00B516F2">
      <w:pPr>
        <w:spacing w:after="0" w:line="480" w:lineRule="auto"/>
        <w:contextualSpacing/>
        <w:jc w:val="center"/>
        <w:rPr>
          <w:rFonts w:ascii="Times New Roman" w:hAnsi="Times New Roman" w:cs="Times New Roman"/>
          <w:b/>
          <w:sz w:val="24"/>
          <w:szCs w:val="24"/>
        </w:rPr>
      </w:pPr>
    </w:p>
    <w:p w:rsidR="00764908" w:rsidP="00B516F2">
      <w:pPr>
        <w:spacing w:after="0" w:line="480" w:lineRule="auto"/>
        <w:contextualSpacing/>
        <w:jc w:val="center"/>
        <w:rPr>
          <w:rFonts w:ascii="Times New Roman" w:hAnsi="Times New Roman" w:cs="Times New Roman"/>
          <w:b/>
          <w:sz w:val="24"/>
          <w:szCs w:val="24"/>
        </w:rPr>
      </w:pPr>
    </w:p>
    <w:p w:rsidR="00764908" w:rsidP="00B516F2">
      <w:pPr>
        <w:spacing w:after="0" w:line="480" w:lineRule="auto"/>
        <w:contextualSpacing/>
        <w:jc w:val="center"/>
        <w:rPr>
          <w:rFonts w:ascii="Times New Roman" w:hAnsi="Times New Roman" w:cs="Times New Roman"/>
          <w:b/>
          <w:sz w:val="24"/>
          <w:szCs w:val="24"/>
        </w:rPr>
      </w:pPr>
    </w:p>
    <w:p w:rsidR="00764908" w:rsidP="00B516F2">
      <w:pPr>
        <w:spacing w:after="0" w:line="480" w:lineRule="auto"/>
        <w:contextualSpacing/>
        <w:jc w:val="center"/>
        <w:rPr>
          <w:rFonts w:ascii="Times New Roman" w:hAnsi="Times New Roman" w:cs="Times New Roman"/>
          <w:b/>
          <w:sz w:val="24"/>
          <w:szCs w:val="24"/>
        </w:rPr>
      </w:pPr>
    </w:p>
    <w:p w:rsidR="00764908" w:rsidP="00B516F2">
      <w:pPr>
        <w:spacing w:after="0" w:line="480" w:lineRule="auto"/>
        <w:contextualSpacing/>
        <w:jc w:val="center"/>
        <w:rPr>
          <w:rFonts w:ascii="Times New Roman" w:hAnsi="Times New Roman" w:cs="Times New Roman"/>
          <w:b/>
          <w:sz w:val="24"/>
          <w:szCs w:val="24"/>
        </w:rPr>
      </w:pPr>
    </w:p>
    <w:p w:rsidR="00764908" w:rsidP="00B516F2">
      <w:pPr>
        <w:spacing w:after="0" w:line="480" w:lineRule="auto"/>
        <w:contextualSpacing/>
        <w:jc w:val="center"/>
        <w:rPr>
          <w:rFonts w:ascii="Times New Roman" w:hAnsi="Times New Roman" w:cs="Times New Roman"/>
          <w:b/>
          <w:sz w:val="24"/>
          <w:szCs w:val="24"/>
        </w:rPr>
      </w:pPr>
    </w:p>
    <w:p w:rsidR="00764908" w:rsidRPr="00764908" w:rsidP="00764908">
      <w:pPr>
        <w:spacing w:after="0" w:line="480" w:lineRule="auto"/>
        <w:contextualSpacing/>
        <w:jc w:val="center"/>
        <w:rPr>
          <w:rFonts w:ascii="Times New Roman" w:hAnsi="Times New Roman" w:cs="Times New Roman"/>
          <w:b/>
          <w:sz w:val="24"/>
          <w:szCs w:val="24"/>
        </w:rPr>
      </w:pPr>
      <w:r w:rsidRPr="00764908">
        <w:rPr>
          <w:rFonts w:ascii="Times New Roman" w:hAnsi="Times New Roman" w:cs="Times New Roman"/>
          <w:b/>
          <w:sz w:val="24"/>
          <w:szCs w:val="24"/>
        </w:rPr>
        <w:t>An Analysis of Legality of the Union-Organizing Actions</w:t>
      </w:r>
    </w:p>
    <w:p w:rsidR="00764908" w:rsidP="00B516F2">
      <w:pPr>
        <w:spacing w:after="0" w:line="480" w:lineRule="auto"/>
        <w:contextualSpacing/>
        <w:jc w:val="center"/>
        <w:rPr>
          <w:rFonts w:ascii="Times New Roman" w:hAnsi="Times New Roman" w:cs="Times New Roman"/>
          <w:b/>
          <w:sz w:val="24"/>
          <w:szCs w:val="24"/>
        </w:rPr>
      </w:pPr>
    </w:p>
    <w:p w:rsidR="00764908" w:rsidRPr="00764908" w:rsidP="00B516F2">
      <w:pPr>
        <w:spacing w:after="0" w:line="480" w:lineRule="auto"/>
        <w:contextualSpacing/>
        <w:jc w:val="center"/>
        <w:rPr>
          <w:rFonts w:ascii="Times New Roman" w:hAnsi="Times New Roman" w:cs="Times New Roman"/>
          <w:sz w:val="24"/>
          <w:szCs w:val="24"/>
        </w:rPr>
      </w:pPr>
      <w:r w:rsidRPr="00764908">
        <w:rPr>
          <w:rFonts w:ascii="Times New Roman" w:hAnsi="Times New Roman" w:cs="Times New Roman"/>
          <w:sz w:val="24"/>
          <w:szCs w:val="24"/>
        </w:rPr>
        <w:t>Name:</w:t>
      </w:r>
    </w:p>
    <w:p w:rsidR="00764908" w:rsidRPr="00764908" w:rsidP="00B516F2">
      <w:pPr>
        <w:spacing w:after="0" w:line="480" w:lineRule="auto"/>
        <w:contextualSpacing/>
        <w:jc w:val="center"/>
        <w:rPr>
          <w:rFonts w:ascii="Times New Roman" w:hAnsi="Times New Roman" w:cs="Times New Roman"/>
          <w:sz w:val="24"/>
          <w:szCs w:val="24"/>
        </w:rPr>
      </w:pPr>
      <w:r w:rsidRPr="00764908">
        <w:rPr>
          <w:rFonts w:ascii="Times New Roman" w:hAnsi="Times New Roman" w:cs="Times New Roman"/>
          <w:sz w:val="24"/>
          <w:szCs w:val="24"/>
        </w:rPr>
        <w:t>Institution:</w:t>
      </w:r>
    </w:p>
    <w:p w:rsidR="00764908" w:rsidRPr="00764908" w:rsidP="00B516F2">
      <w:pPr>
        <w:spacing w:after="0" w:line="480" w:lineRule="auto"/>
        <w:contextualSpacing/>
        <w:jc w:val="center"/>
        <w:rPr>
          <w:rFonts w:ascii="Times New Roman" w:hAnsi="Times New Roman" w:cs="Times New Roman"/>
          <w:sz w:val="24"/>
          <w:szCs w:val="24"/>
        </w:rPr>
      </w:pPr>
      <w:r w:rsidRPr="00764908">
        <w:rPr>
          <w:rFonts w:ascii="Times New Roman" w:hAnsi="Times New Roman" w:cs="Times New Roman"/>
          <w:sz w:val="24"/>
          <w:szCs w:val="24"/>
        </w:rPr>
        <w:t>Course:</w:t>
      </w:r>
    </w:p>
    <w:p w:rsidR="00764908" w:rsidRPr="00764908" w:rsidP="00B516F2">
      <w:pPr>
        <w:spacing w:after="0" w:line="480" w:lineRule="auto"/>
        <w:contextualSpacing/>
        <w:jc w:val="center"/>
        <w:rPr>
          <w:rFonts w:ascii="Times New Roman" w:hAnsi="Times New Roman" w:cs="Times New Roman"/>
          <w:sz w:val="24"/>
          <w:szCs w:val="24"/>
        </w:rPr>
      </w:pPr>
      <w:r w:rsidRPr="00764908">
        <w:rPr>
          <w:rFonts w:ascii="Times New Roman" w:hAnsi="Times New Roman" w:cs="Times New Roman"/>
          <w:sz w:val="24"/>
          <w:szCs w:val="24"/>
        </w:rPr>
        <w:t>Instructor:</w:t>
      </w:r>
    </w:p>
    <w:p w:rsidR="00764908" w:rsidRPr="00764908" w:rsidP="00B516F2">
      <w:pPr>
        <w:spacing w:after="0" w:line="480" w:lineRule="auto"/>
        <w:contextualSpacing/>
        <w:jc w:val="center"/>
        <w:rPr>
          <w:rFonts w:ascii="Times New Roman" w:hAnsi="Times New Roman" w:cs="Times New Roman"/>
          <w:sz w:val="24"/>
          <w:szCs w:val="24"/>
        </w:rPr>
      </w:pPr>
      <w:r w:rsidRPr="00764908">
        <w:rPr>
          <w:rFonts w:ascii="Times New Roman" w:hAnsi="Times New Roman" w:cs="Times New Roman"/>
          <w:sz w:val="24"/>
          <w:szCs w:val="24"/>
        </w:rPr>
        <w:t>Date:</w:t>
      </w:r>
    </w:p>
    <w:p w:rsidR="00764908" w:rsidP="00B516F2">
      <w:pPr>
        <w:spacing w:after="0" w:line="480" w:lineRule="auto"/>
        <w:contextualSpacing/>
        <w:jc w:val="center"/>
        <w:rPr>
          <w:rFonts w:ascii="Times New Roman" w:hAnsi="Times New Roman" w:cs="Times New Roman"/>
          <w:b/>
          <w:sz w:val="24"/>
          <w:szCs w:val="24"/>
        </w:rPr>
      </w:pPr>
    </w:p>
    <w:p w:rsidR="00764908" w:rsidP="00B516F2">
      <w:pPr>
        <w:spacing w:after="0" w:line="480" w:lineRule="auto"/>
        <w:contextualSpacing/>
        <w:jc w:val="center"/>
        <w:rPr>
          <w:rFonts w:ascii="Times New Roman" w:hAnsi="Times New Roman" w:cs="Times New Roman"/>
          <w:b/>
          <w:sz w:val="24"/>
          <w:szCs w:val="24"/>
        </w:rPr>
      </w:pPr>
    </w:p>
    <w:p w:rsidR="00764908" w:rsidP="00B516F2">
      <w:pPr>
        <w:spacing w:after="0" w:line="480" w:lineRule="auto"/>
        <w:contextualSpacing/>
        <w:jc w:val="center"/>
        <w:rPr>
          <w:rFonts w:ascii="Times New Roman" w:hAnsi="Times New Roman" w:cs="Times New Roman"/>
          <w:b/>
          <w:sz w:val="24"/>
          <w:szCs w:val="24"/>
        </w:rPr>
      </w:pPr>
    </w:p>
    <w:p w:rsidR="00764908" w:rsidP="00B516F2">
      <w:pPr>
        <w:spacing w:after="0" w:line="480" w:lineRule="auto"/>
        <w:contextualSpacing/>
        <w:jc w:val="center"/>
        <w:rPr>
          <w:rFonts w:ascii="Times New Roman" w:hAnsi="Times New Roman" w:cs="Times New Roman"/>
          <w:b/>
          <w:sz w:val="24"/>
          <w:szCs w:val="24"/>
        </w:rPr>
      </w:pPr>
    </w:p>
    <w:p w:rsidR="00764908" w:rsidP="00B516F2">
      <w:pPr>
        <w:spacing w:after="0" w:line="480" w:lineRule="auto"/>
        <w:contextualSpacing/>
        <w:jc w:val="center"/>
        <w:rPr>
          <w:rFonts w:ascii="Times New Roman" w:hAnsi="Times New Roman" w:cs="Times New Roman"/>
          <w:b/>
          <w:sz w:val="24"/>
          <w:szCs w:val="24"/>
        </w:rPr>
      </w:pPr>
    </w:p>
    <w:p w:rsidR="00764908" w:rsidP="00B516F2">
      <w:pPr>
        <w:spacing w:after="0" w:line="480" w:lineRule="auto"/>
        <w:contextualSpacing/>
        <w:jc w:val="center"/>
        <w:rPr>
          <w:rFonts w:ascii="Times New Roman" w:hAnsi="Times New Roman" w:cs="Times New Roman"/>
          <w:b/>
          <w:sz w:val="24"/>
          <w:szCs w:val="24"/>
        </w:rPr>
      </w:pPr>
    </w:p>
    <w:p w:rsidR="00764908" w:rsidP="00B516F2">
      <w:pPr>
        <w:spacing w:after="0" w:line="480" w:lineRule="auto"/>
        <w:contextualSpacing/>
        <w:jc w:val="center"/>
        <w:rPr>
          <w:rFonts w:ascii="Times New Roman" w:hAnsi="Times New Roman" w:cs="Times New Roman"/>
          <w:b/>
          <w:sz w:val="24"/>
          <w:szCs w:val="24"/>
        </w:rPr>
      </w:pPr>
    </w:p>
    <w:p w:rsidR="00764908" w:rsidP="00B516F2">
      <w:pPr>
        <w:spacing w:after="0" w:line="480" w:lineRule="auto"/>
        <w:contextualSpacing/>
        <w:jc w:val="center"/>
        <w:rPr>
          <w:rFonts w:ascii="Times New Roman" w:hAnsi="Times New Roman" w:cs="Times New Roman"/>
          <w:b/>
          <w:sz w:val="24"/>
          <w:szCs w:val="24"/>
        </w:rPr>
      </w:pPr>
    </w:p>
    <w:p w:rsidR="00764908" w:rsidP="00B516F2">
      <w:pPr>
        <w:spacing w:after="0" w:line="480" w:lineRule="auto"/>
        <w:contextualSpacing/>
        <w:jc w:val="center"/>
        <w:rPr>
          <w:rFonts w:ascii="Times New Roman" w:hAnsi="Times New Roman" w:cs="Times New Roman"/>
          <w:b/>
          <w:sz w:val="24"/>
          <w:szCs w:val="24"/>
        </w:rPr>
      </w:pPr>
    </w:p>
    <w:p w:rsidR="00764908" w:rsidP="00B516F2">
      <w:pPr>
        <w:spacing w:after="0" w:line="480" w:lineRule="auto"/>
        <w:contextualSpacing/>
        <w:jc w:val="center"/>
        <w:rPr>
          <w:rFonts w:ascii="Times New Roman" w:hAnsi="Times New Roman" w:cs="Times New Roman"/>
          <w:b/>
          <w:sz w:val="24"/>
          <w:szCs w:val="24"/>
        </w:rPr>
      </w:pPr>
    </w:p>
    <w:p w:rsidR="00DB0225" w:rsidRPr="00764908" w:rsidP="00B516F2">
      <w:pPr>
        <w:spacing w:after="0" w:line="480" w:lineRule="auto"/>
        <w:contextualSpacing/>
        <w:jc w:val="center"/>
        <w:rPr>
          <w:rFonts w:ascii="Times New Roman" w:hAnsi="Times New Roman" w:cs="Times New Roman"/>
          <w:b/>
          <w:sz w:val="24"/>
          <w:szCs w:val="24"/>
        </w:rPr>
      </w:pPr>
      <w:r w:rsidRPr="00764908">
        <w:rPr>
          <w:rFonts w:ascii="Times New Roman" w:hAnsi="Times New Roman" w:cs="Times New Roman"/>
          <w:b/>
          <w:sz w:val="24"/>
          <w:szCs w:val="24"/>
        </w:rPr>
        <w:t>An Analysis of Legality of the Union-Organizing Actions</w:t>
      </w:r>
    </w:p>
    <w:p w:rsidR="00B57702" w:rsidRPr="00764908" w:rsidP="00EE35DB">
      <w:pPr>
        <w:spacing w:after="0" w:line="480" w:lineRule="auto"/>
        <w:ind w:firstLine="720"/>
        <w:contextualSpacing/>
        <w:rPr>
          <w:rFonts w:ascii="Times New Roman" w:hAnsi="Times New Roman" w:cs="Times New Roman"/>
          <w:sz w:val="24"/>
          <w:szCs w:val="24"/>
        </w:rPr>
      </w:pPr>
      <w:r w:rsidRPr="00764908">
        <w:rPr>
          <w:rFonts w:ascii="Times New Roman" w:hAnsi="Times New Roman" w:cs="Times New Roman"/>
          <w:sz w:val="24"/>
          <w:szCs w:val="24"/>
        </w:rPr>
        <w:t xml:space="preserve">In 2014, The National Labor Relations Board (NLRB) established that employees </w:t>
      </w:r>
      <w:r w:rsidRPr="00764908">
        <w:rPr>
          <w:rFonts w:ascii="Times New Roman" w:hAnsi="Times New Roman" w:cs="Times New Roman"/>
          <w:sz w:val="24"/>
          <w:szCs w:val="24"/>
        </w:rPr>
        <w:t>have a right during non-working hours to use their company's e-mail addresses to conduct union activities. This right is protected under the National Labor Relations Act</w:t>
      </w:r>
      <w:r w:rsidRPr="00764908" w:rsidR="00764908">
        <w:rPr>
          <w:rFonts w:ascii="Times New Roman" w:hAnsi="Times New Roman" w:cs="Times New Roman"/>
          <w:sz w:val="24"/>
          <w:szCs w:val="24"/>
        </w:rPr>
        <w:t xml:space="preserve"> (Carroll, 2016)</w:t>
      </w:r>
      <w:r w:rsidRPr="00764908">
        <w:rPr>
          <w:rFonts w:ascii="Times New Roman" w:hAnsi="Times New Roman" w:cs="Times New Roman"/>
          <w:sz w:val="24"/>
          <w:szCs w:val="24"/>
        </w:rPr>
        <w:t xml:space="preserve">. </w:t>
      </w:r>
      <w:r w:rsidR="00EE35DB">
        <w:rPr>
          <w:rFonts w:ascii="Times New Roman" w:hAnsi="Times New Roman" w:cs="Times New Roman"/>
          <w:sz w:val="24"/>
          <w:szCs w:val="24"/>
        </w:rPr>
        <w:t>If an employer lets staff</w:t>
      </w:r>
      <w:r w:rsidRPr="00764908" w:rsidR="00764908">
        <w:rPr>
          <w:rFonts w:ascii="Times New Roman" w:hAnsi="Times New Roman" w:cs="Times New Roman"/>
          <w:sz w:val="24"/>
          <w:szCs w:val="24"/>
        </w:rPr>
        <w:t xml:space="preserve"> </w:t>
      </w:r>
      <w:r w:rsidR="00EE35DB">
        <w:rPr>
          <w:rFonts w:ascii="Times New Roman" w:hAnsi="Times New Roman" w:cs="Times New Roman"/>
          <w:sz w:val="24"/>
          <w:szCs w:val="24"/>
        </w:rPr>
        <w:t>use</w:t>
      </w:r>
      <w:r w:rsidRPr="00764908">
        <w:rPr>
          <w:rFonts w:ascii="Times New Roman" w:hAnsi="Times New Roman" w:cs="Times New Roman"/>
          <w:sz w:val="24"/>
          <w:szCs w:val="24"/>
        </w:rPr>
        <w:t xml:space="preserve"> e-mail setup at work, its use for</w:t>
      </w:r>
      <w:r w:rsidRPr="00764908">
        <w:rPr>
          <w:rFonts w:ascii="Times New Roman" w:hAnsi="Times New Roman" w:cs="Times New Roman"/>
          <w:sz w:val="24"/>
          <w:szCs w:val="24"/>
        </w:rPr>
        <w:t xml:space="preserve"> judicially </w:t>
      </w:r>
      <w:r w:rsidRPr="00764908" w:rsidR="00EE35DB">
        <w:rPr>
          <w:rFonts w:ascii="Times New Roman" w:hAnsi="Times New Roman" w:cs="Times New Roman"/>
          <w:sz w:val="24"/>
          <w:szCs w:val="24"/>
        </w:rPr>
        <w:t>protected</w:t>
      </w:r>
      <w:r w:rsidRPr="00764908">
        <w:rPr>
          <w:rFonts w:ascii="Times New Roman" w:hAnsi="Times New Roman" w:cs="Times New Roman"/>
          <w:sz w:val="24"/>
          <w:szCs w:val="24"/>
        </w:rPr>
        <w:t xml:space="preserve"> interactions on a non-working period </w:t>
      </w:r>
      <w:r w:rsidRPr="00764908">
        <w:rPr>
          <w:rFonts w:ascii="Times New Roman" w:hAnsi="Times New Roman" w:cs="Times New Roman"/>
          <w:sz w:val="24"/>
          <w:szCs w:val="24"/>
        </w:rPr>
        <w:t xml:space="preserve">must affirmatively be allowed. This judgment pertains to both union workers and non-union environments. In other meaning, if a worker has e-mail access at </w:t>
      </w:r>
      <w:r w:rsidR="004D4C83">
        <w:rPr>
          <w:rFonts w:ascii="Times New Roman" w:hAnsi="Times New Roman" w:cs="Times New Roman"/>
          <w:sz w:val="24"/>
          <w:szCs w:val="24"/>
        </w:rPr>
        <w:t xml:space="preserve">the place of </w:t>
      </w:r>
      <w:r w:rsidRPr="00764908">
        <w:rPr>
          <w:rFonts w:ascii="Times New Roman" w:hAnsi="Times New Roman" w:cs="Times New Roman"/>
          <w:sz w:val="24"/>
          <w:szCs w:val="24"/>
        </w:rPr>
        <w:t xml:space="preserve">employment and is ever allowed to transmit </w:t>
      </w:r>
      <w:r w:rsidRPr="00764908">
        <w:rPr>
          <w:rFonts w:ascii="Times New Roman" w:hAnsi="Times New Roman" w:cs="Times New Roman"/>
          <w:sz w:val="24"/>
          <w:szCs w:val="24"/>
        </w:rPr>
        <w:t>and receive non-work messages, the worker may use their work e-mail to communicate with colleagues about union-related concerns</w:t>
      </w:r>
      <w:r w:rsidRPr="00764908" w:rsidR="00764908">
        <w:rPr>
          <w:rFonts w:ascii="Times New Roman" w:hAnsi="Times New Roman" w:cs="Times New Roman"/>
          <w:sz w:val="24"/>
          <w:szCs w:val="24"/>
        </w:rPr>
        <w:t xml:space="preserve"> (Carrol, 2016)</w:t>
      </w:r>
      <w:r w:rsidRPr="00764908">
        <w:rPr>
          <w:rFonts w:ascii="Times New Roman" w:hAnsi="Times New Roman" w:cs="Times New Roman"/>
          <w:sz w:val="24"/>
          <w:szCs w:val="24"/>
        </w:rPr>
        <w:t>.</w:t>
      </w:r>
      <w:r w:rsidRPr="00764908" w:rsidR="00111E4F">
        <w:rPr>
          <w:rFonts w:ascii="Times New Roman" w:hAnsi="Times New Roman" w:cs="Times New Roman"/>
          <w:sz w:val="24"/>
          <w:szCs w:val="24"/>
        </w:rPr>
        <w:t xml:space="preserve"> </w:t>
      </w:r>
      <w:r w:rsidRPr="00764908" w:rsidR="00D610D3">
        <w:rPr>
          <w:rFonts w:ascii="Times New Roman" w:hAnsi="Times New Roman" w:cs="Times New Roman"/>
          <w:sz w:val="24"/>
          <w:szCs w:val="24"/>
        </w:rPr>
        <w:t xml:space="preserve">The NLRB dismissed its assessment in its 2007 ruling in Register-Guard, </w:t>
      </w:r>
      <w:r w:rsidR="005A7204">
        <w:rPr>
          <w:rFonts w:ascii="Times New Roman" w:hAnsi="Times New Roman" w:cs="Times New Roman"/>
          <w:sz w:val="24"/>
          <w:szCs w:val="24"/>
        </w:rPr>
        <w:t>which the Panel observed to be faulty</w:t>
      </w:r>
      <w:r w:rsidRPr="00764908" w:rsidR="00D610D3">
        <w:rPr>
          <w:rFonts w:ascii="Times New Roman" w:hAnsi="Times New Roman" w:cs="Times New Roman"/>
          <w:sz w:val="24"/>
          <w:szCs w:val="24"/>
        </w:rPr>
        <w:t xml:space="preserve"> in 2014. In Register-Guard, the Board ruled that workers have no valid claim to use their company's e</w:t>
      </w:r>
      <w:r w:rsidR="005A7204">
        <w:rPr>
          <w:rFonts w:ascii="Times New Roman" w:hAnsi="Times New Roman" w:cs="Times New Roman"/>
          <w:sz w:val="24"/>
          <w:szCs w:val="24"/>
        </w:rPr>
        <w:t>-mail platform to engage in pro</w:t>
      </w:r>
      <w:r w:rsidRPr="00764908" w:rsidR="00D610D3">
        <w:rPr>
          <w:rFonts w:ascii="Times New Roman" w:hAnsi="Times New Roman" w:cs="Times New Roman"/>
          <w:sz w:val="24"/>
          <w:szCs w:val="24"/>
        </w:rPr>
        <w:t xml:space="preserve"> or anti-union exercises </w:t>
      </w:r>
      <w:r w:rsidRPr="00764908" w:rsidR="005A7204">
        <w:rPr>
          <w:rFonts w:ascii="Times New Roman" w:hAnsi="Times New Roman" w:cs="Times New Roman"/>
          <w:sz w:val="24"/>
          <w:szCs w:val="24"/>
        </w:rPr>
        <w:t>defended</w:t>
      </w:r>
      <w:r w:rsidRPr="00764908" w:rsidR="00D610D3">
        <w:rPr>
          <w:rFonts w:ascii="Times New Roman" w:hAnsi="Times New Roman" w:cs="Times New Roman"/>
          <w:sz w:val="24"/>
          <w:szCs w:val="24"/>
        </w:rPr>
        <w:t xml:space="preserve"> by the National Labor Relations Act.</w:t>
      </w:r>
    </w:p>
    <w:p w:rsidR="00111E4F" w:rsidRPr="00764908" w:rsidP="00111E4F">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However, in 2019 employers</w:t>
      </w:r>
      <w:r w:rsidRPr="00764908" w:rsidR="00417F63">
        <w:rPr>
          <w:rFonts w:ascii="Times New Roman" w:hAnsi="Times New Roman" w:cs="Times New Roman"/>
          <w:sz w:val="24"/>
          <w:szCs w:val="24"/>
        </w:rPr>
        <w:t xml:space="preserve">' entitlement to </w:t>
      </w:r>
      <w:r w:rsidRPr="00764908" w:rsidR="00417F63">
        <w:rPr>
          <w:rFonts w:ascii="Times New Roman" w:hAnsi="Times New Roman" w:cs="Times New Roman"/>
          <w:sz w:val="24"/>
          <w:szCs w:val="24"/>
        </w:rPr>
        <w:t>limit workers' private use of wo</w:t>
      </w:r>
      <w:r>
        <w:rPr>
          <w:rFonts w:ascii="Times New Roman" w:hAnsi="Times New Roman" w:cs="Times New Roman"/>
          <w:sz w:val="24"/>
          <w:szCs w:val="24"/>
        </w:rPr>
        <w:t>rk e-mail addresses and other technology</w:t>
      </w:r>
      <w:r w:rsidRPr="00764908" w:rsidR="00417F63">
        <w:rPr>
          <w:rFonts w:ascii="Times New Roman" w:hAnsi="Times New Roman" w:cs="Times New Roman"/>
          <w:sz w:val="24"/>
          <w:szCs w:val="24"/>
        </w:rPr>
        <w:t xml:space="preserve"> assets was revived by the NLRB. In the</w:t>
      </w:r>
      <w:r w:rsidRPr="00764908" w:rsidR="009F16EB">
        <w:rPr>
          <w:rFonts w:ascii="Times New Roman" w:hAnsi="Times New Roman" w:cs="Times New Roman"/>
          <w:sz w:val="24"/>
          <w:szCs w:val="24"/>
        </w:rPr>
        <w:t xml:space="preserve"> Caesars Entertainment </w:t>
      </w:r>
      <w:r w:rsidRPr="00764908" w:rsidR="00417F63">
        <w:rPr>
          <w:rFonts w:ascii="Times New Roman" w:hAnsi="Times New Roman" w:cs="Times New Roman"/>
          <w:sz w:val="24"/>
          <w:szCs w:val="24"/>
        </w:rPr>
        <w:t>Case, the Board ruled that staff do not have a legitimate right under the NLRA to use their company's electronic mail or other inf</w:t>
      </w:r>
      <w:r w:rsidRPr="00764908" w:rsidR="00417F63">
        <w:rPr>
          <w:rFonts w:ascii="Times New Roman" w:hAnsi="Times New Roman" w:cs="Times New Roman"/>
          <w:sz w:val="24"/>
          <w:szCs w:val="24"/>
        </w:rPr>
        <w:t>ormation systems infrastructure for NLRA Section 7 reasons, such as unionizing</w:t>
      </w:r>
      <w:r w:rsidRPr="00764908" w:rsidR="00764908">
        <w:rPr>
          <w:rFonts w:ascii="Times New Roman" w:hAnsi="Times New Roman" w:cs="Times New Roman"/>
          <w:sz w:val="24"/>
          <w:szCs w:val="24"/>
        </w:rPr>
        <w:t xml:space="preserve"> (Hirsch, 2018)</w:t>
      </w:r>
      <w:r w:rsidRPr="00764908" w:rsidR="00417F63">
        <w:rPr>
          <w:rFonts w:ascii="Times New Roman" w:hAnsi="Times New Roman" w:cs="Times New Roman"/>
          <w:sz w:val="24"/>
          <w:szCs w:val="24"/>
        </w:rPr>
        <w:t>. This ruling overruled the 2014 decision that was deemed controversial.</w:t>
      </w:r>
      <w:r w:rsidRPr="00764908" w:rsidR="0011405C">
        <w:rPr>
          <w:rFonts w:ascii="Times New Roman" w:hAnsi="Times New Roman" w:cs="Times New Roman"/>
          <w:sz w:val="24"/>
          <w:szCs w:val="24"/>
        </w:rPr>
        <w:t xml:space="preserve"> Based on this ruling</w:t>
      </w:r>
      <w:r w:rsidRPr="00764908" w:rsidR="00094CBB">
        <w:rPr>
          <w:rFonts w:ascii="Times New Roman" w:hAnsi="Times New Roman" w:cs="Times New Roman"/>
          <w:sz w:val="24"/>
          <w:szCs w:val="24"/>
        </w:rPr>
        <w:t>, employees</w:t>
      </w:r>
      <w:r w:rsidRPr="00764908" w:rsidR="0011405C">
        <w:rPr>
          <w:rFonts w:ascii="Times New Roman" w:hAnsi="Times New Roman" w:cs="Times New Roman"/>
          <w:sz w:val="24"/>
          <w:szCs w:val="24"/>
        </w:rPr>
        <w:t xml:space="preserve"> have no business using company e-mail addresses to organize union activities during working and non-working hours.</w:t>
      </w:r>
      <w:r w:rsidRPr="00764908" w:rsidR="00094CBB">
        <w:rPr>
          <w:rFonts w:ascii="Times New Roman" w:hAnsi="Times New Roman" w:cs="Times New Roman"/>
          <w:sz w:val="24"/>
          <w:szCs w:val="24"/>
        </w:rPr>
        <w:t xml:space="preserve"> In addition, under federal law, the employer has every right to </w:t>
      </w:r>
      <w:r w:rsidRPr="00764908" w:rsidR="003222BE">
        <w:rPr>
          <w:rFonts w:ascii="Times New Roman" w:hAnsi="Times New Roman" w:cs="Times New Roman"/>
          <w:sz w:val="24"/>
          <w:szCs w:val="24"/>
        </w:rPr>
        <w:t>e</w:t>
      </w:r>
      <w:r w:rsidRPr="00764908" w:rsidR="00094CBB">
        <w:rPr>
          <w:rFonts w:ascii="Times New Roman" w:hAnsi="Times New Roman" w:cs="Times New Roman"/>
          <w:sz w:val="24"/>
          <w:szCs w:val="24"/>
        </w:rPr>
        <w:t xml:space="preserve">xplicitly forbid non-employee trade unionists from accessing the employer's property to obtain and circulate pamphlets. The union has fair access to those staff members via other channels, and the business owner does not segregate by granting </w:t>
      </w:r>
      <w:r w:rsidRPr="00764908" w:rsidR="00094CBB">
        <w:rPr>
          <w:rFonts w:ascii="Times New Roman" w:hAnsi="Times New Roman" w:cs="Times New Roman"/>
          <w:sz w:val="24"/>
          <w:szCs w:val="24"/>
        </w:rPr>
        <w:t>access to other non-employees. Furthermore, staff members must be permitted to participate in union solicitation at any place on the employer's property, provided that it happens during all workers' non-working hours.</w:t>
      </w:r>
      <w:r w:rsidRPr="00764908" w:rsidR="00B652A9">
        <w:rPr>
          <w:rFonts w:ascii="Times New Roman" w:hAnsi="Times New Roman" w:cs="Times New Roman"/>
          <w:sz w:val="24"/>
          <w:szCs w:val="24"/>
        </w:rPr>
        <w:t xml:space="preserve"> The only person allowed to distribute and solicit at the employer’s premises is the unionized employee.</w:t>
      </w:r>
    </w:p>
    <w:p w:rsidR="00B652A9" w:rsidRPr="00764908" w:rsidP="00111E4F">
      <w:pPr>
        <w:spacing w:after="0" w:line="480" w:lineRule="auto"/>
        <w:ind w:firstLine="720"/>
        <w:contextualSpacing/>
        <w:rPr>
          <w:rFonts w:ascii="Times New Roman" w:hAnsi="Times New Roman" w:cs="Times New Roman"/>
          <w:sz w:val="24"/>
          <w:szCs w:val="24"/>
        </w:rPr>
      </w:pPr>
      <w:r w:rsidRPr="00764908">
        <w:rPr>
          <w:rFonts w:ascii="Times New Roman" w:hAnsi="Times New Roman" w:cs="Times New Roman"/>
          <w:sz w:val="24"/>
          <w:szCs w:val="24"/>
        </w:rPr>
        <w:t>Employers have the rig</w:t>
      </w:r>
      <w:r w:rsidRPr="00764908">
        <w:rPr>
          <w:rFonts w:ascii="Times New Roman" w:hAnsi="Times New Roman" w:cs="Times New Roman"/>
          <w:sz w:val="24"/>
          <w:szCs w:val="24"/>
        </w:rPr>
        <w:t>ht to air their views on unions and union membership as per the National Labor Relations Act's </w:t>
      </w:r>
      <w:r w:rsidR="008F1660">
        <w:rPr>
          <w:rFonts w:ascii="Times New Roman" w:hAnsi="Times New Roman" w:cs="Times New Roman"/>
          <w:sz w:val="24"/>
          <w:szCs w:val="24"/>
        </w:rPr>
        <w:t>subsection</w:t>
      </w:r>
      <w:r w:rsidRPr="00764908">
        <w:rPr>
          <w:rFonts w:ascii="Times New Roman" w:hAnsi="Times New Roman" w:cs="Times New Roman"/>
          <w:sz w:val="24"/>
          <w:szCs w:val="24"/>
        </w:rPr>
        <w:t xml:space="preserve"> 9 (C)</w:t>
      </w:r>
      <w:r w:rsidRPr="00764908" w:rsidR="00764908">
        <w:rPr>
          <w:rFonts w:ascii="Times New Roman" w:hAnsi="Times New Roman" w:cs="Times New Roman"/>
          <w:sz w:val="24"/>
          <w:szCs w:val="24"/>
        </w:rPr>
        <w:t xml:space="preserve"> (nlrb.gov, n.d.)</w:t>
      </w:r>
      <w:r w:rsidRPr="00764908">
        <w:rPr>
          <w:rFonts w:ascii="Times New Roman" w:hAnsi="Times New Roman" w:cs="Times New Roman"/>
          <w:sz w:val="24"/>
          <w:szCs w:val="24"/>
        </w:rPr>
        <w:t>. Documented correspondence is frequently inserted into pay parcels or mailed to staffs' homes by employers. However, group sessio</w:t>
      </w:r>
      <w:r w:rsidRPr="00764908">
        <w:rPr>
          <w:rFonts w:ascii="Times New Roman" w:hAnsi="Times New Roman" w:cs="Times New Roman"/>
          <w:sz w:val="24"/>
          <w:szCs w:val="24"/>
        </w:rPr>
        <w:t>ns, in which an employer interacts with employees during the work day and at the worksite, are the most effective way of communicating.</w:t>
      </w:r>
      <w:r w:rsidRPr="00764908" w:rsidR="009A17B0">
        <w:rPr>
          <w:rFonts w:ascii="Times New Roman" w:hAnsi="Times New Roman" w:cs="Times New Roman"/>
          <w:sz w:val="24"/>
          <w:szCs w:val="24"/>
        </w:rPr>
        <w:t xml:space="preserve"> </w:t>
      </w:r>
      <w:r w:rsidRPr="00764908" w:rsidR="000C3123">
        <w:rPr>
          <w:rFonts w:ascii="Times New Roman" w:hAnsi="Times New Roman" w:cs="Times New Roman"/>
          <w:sz w:val="24"/>
          <w:szCs w:val="24"/>
        </w:rPr>
        <w:t>Furthermore, an employer must not contravene the National Labor Relations Board's 25-hour principle that restricts employers from holding team meeting within 25 hours of a union vote</w:t>
      </w:r>
      <w:r w:rsidR="00126450">
        <w:rPr>
          <w:rFonts w:ascii="Times New Roman" w:hAnsi="Times New Roman" w:cs="Times New Roman"/>
          <w:sz w:val="24"/>
          <w:szCs w:val="24"/>
        </w:rPr>
        <w:t xml:space="preserve"> (nlrb.gov, </w:t>
      </w:r>
      <w:r w:rsidR="00126450">
        <w:rPr>
          <w:rFonts w:ascii="Times New Roman" w:hAnsi="Times New Roman" w:cs="Times New Roman"/>
          <w:sz w:val="24"/>
          <w:szCs w:val="24"/>
        </w:rPr>
        <w:t>n.d.</w:t>
      </w:r>
      <w:r w:rsidR="00126450">
        <w:rPr>
          <w:rFonts w:ascii="Times New Roman" w:hAnsi="Times New Roman" w:cs="Times New Roman"/>
          <w:sz w:val="24"/>
          <w:szCs w:val="24"/>
        </w:rPr>
        <w:t>)</w:t>
      </w:r>
      <w:r w:rsidRPr="00764908" w:rsidR="000C3123">
        <w:rPr>
          <w:rFonts w:ascii="Times New Roman" w:hAnsi="Times New Roman" w:cs="Times New Roman"/>
          <w:sz w:val="24"/>
          <w:szCs w:val="24"/>
        </w:rPr>
        <w:t>. However, this regulation does not preclude a company from interacting with employees independently or via mail. In</w:t>
      </w:r>
      <w:r w:rsidRPr="00764908" w:rsidR="009A17B0">
        <w:rPr>
          <w:rFonts w:ascii="Times New Roman" w:hAnsi="Times New Roman" w:cs="Times New Roman"/>
          <w:sz w:val="24"/>
          <w:szCs w:val="24"/>
        </w:rPr>
        <w:t xml:space="preserve"> addition, employers who reduce staff turnover may reduce employees' aspirations for union membership. Transparent and equitable policies and programs, open-door policy, lucrative wages and benefits, and team cohesion and appreciation are all strategies to help dissuade union approval. A workplace that nurtures healthy relationships between management and staff and addresses employee problems is far less capable of forcing workers to pursue assistance from union support.</w:t>
      </w:r>
    </w:p>
    <w:p w:rsidR="00764908" w:rsidRPr="00764908" w:rsidP="00111E4F">
      <w:pPr>
        <w:spacing w:after="0" w:line="480" w:lineRule="auto"/>
        <w:ind w:firstLine="720"/>
        <w:contextualSpacing/>
        <w:rPr>
          <w:rFonts w:ascii="Times New Roman" w:hAnsi="Times New Roman" w:cs="Times New Roman"/>
          <w:color w:val="222222"/>
          <w:sz w:val="24"/>
          <w:szCs w:val="24"/>
          <w:shd w:val="clear" w:color="auto" w:fill="FFFFFF"/>
        </w:rPr>
      </w:pPr>
      <w:r w:rsidRPr="00764908">
        <w:rPr>
          <w:rFonts w:ascii="Times New Roman" w:hAnsi="Times New Roman" w:cs="Times New Roman"/>
          <w:sz w:val="24"/>
          <w:szCs w:val="24"/>
        </w:rPr>
        <w:t>Employers should be cautious not to participate in unfair employment practices, as specific actions will contraven</w:t>
      </w:r>
      <w:r w:rsidRPr="00764908">
        <w:rPr>
          <w:rFonts w:ascii="Times New Roman" w:hAnsi="Times New Roman" w:cs="Times New Roman"/>
          <w:sz w:val="24"/>
          <w:szCs w:val="24"/>
        </w:rPr>
        <w:t xml:space="preserve">e the NLRA, such as intimidating employees to lose their jobs if they join unions or rewards if they fail to join one.  Rewarding employees who vote against unionization or partaking in </w:t>
      </w:r>
      <w:r w:rsidRPr="00764908" w:rsidR="00126450">
        <w:rPr>
          <w:rFonts w:ascii="Times New Roman" w:hAnsi="Times New Roman" w:cs="Times New Roman"/>
          <w:sz w:val="24"/>
          <w:szCs w:val="24"/>
        </w:rPr>
        <w:t>protected</w:t>
      </w:r>
      <w:r w:rsidR="00126450">
        <w:rPr>
          <w:rFonts w:ascii="Times New Roman" w:hAnsi="Times New Roman" w:cs="Times New Roman"/>
          <w:sz w:val="24"/>
          <w:szCs w:val="24"/>
        </w:rPr>
        <w:t xml:space="preserve"> industrial</w:t>
      </w:r>
      <w:r w:rsidRPr="00764908">
        <w:rPr>
          <w:rFonts w:ascii="Times New Roman" w:hAnsi="Times New Roman" w:cs="Times New Roman"/>
          <w:sz w:val="24"/>
          <w:szCs w:val="24"/>
        </w:rPr>
        <w:t xml:space="preserve"> action, threatening to shut d</w:t>
      </w:r>
      <w:bookmarkStart w:id="0" w:name="_GoBack"/>
      <w:bookmarkEnd w:id="0"/>
      <w:r w:rsidRPr="00764908">
        <w:rPr>
          <w:rFonts w:ascii="Times New Roman" w:hAnsi="Times New Roman" w:cs="Times New Roman"/>
          <w:sz w:val="24"/>
          <w:szCs w:val="24"/>
        </w:rPr>
        <w:t>own the business if th</w:t>
      </w:r>
      <w:r w:rsidRPr="00764908">
        <w:rPr>
          <w:rFonts w:ascii="Times New Roman" w:hAnsi="Times New Roman" w:cs="Times New Roman"/>
          <w:sz w:val="24"/>
          <w:szCs w:val="24"/>
        </w:rPr>
        <w:t xml:space="preserve">ey choose a union to advance their interests; and interrogating personnel about their union </w:t>
      </w:r>
      <w:r w:rsidRPr="00764908">
        <w:rPr>
          <w:rFonts w:ascii="Times New Roman" w:hAnsi="Times New Roman" w:cs="Times New Roman"/>
          <w:sz w:val="24"/>
          <w:szCs w:val="24"/>
        </w:rPr>
        <w:t>allegiances or operations in situations that seem to intrude with, constrain, or coerce them. Such actions can result in legal suits from the union leadership, whic</w:t>
      </w:r>
      <w:r w:rsidRPr="00764908">
        <w:rPr>
          <w:rFonts w:ascii="Times New Roman" w:hAnsi="Times New Roman" w:cs="Times New Roman"/>
          <w:sz w:val="24"/>
          <w:szCs w:val="24"/>
        </w:rPr>
        <w:t>h might not portend well for the employer. Staff must not be promised rewards for not promoting a union, and employers must not monitor trade unions. Employees have a right to meet with union officials without intrusion from the administrat</w:t>
      </w:r>
      <w:r w:rsidRPr="00764908">
        <w:rPr>
          <w:rFonts w:ascii="Times New Roman" w:hAnsi="Times New Roman" w:cs="Times New Roman"/>
          <w:sz w:val="24"/>
          <w:szCs w:val="24"/>
        </w:rPr>
        <w:t>ion. An employer supports employee union membership. They must create a conducive environment for union activities to thrive.</w:t>
      </w:r>
      <w:r w:rsidRPr="00764908">
        <w:rPr>
          <w:rFonts w:ascii="Times New Roman" w:hAnsi="Times New Roman" w:cs="Times New Roman"/>
          <w:color w:val="222222"/>
          <w:sz w:val="24"/>
          <w:szCs w:val="24"/>
          <w:shd w:val="clear" w:color="auto" w:fill="FFFFFF"/>
        </w:rPr>
        <w:t xml:space="preserve"> </w:t>
      </w:r>
    </w:p>
    <w:p w:rsidR="00764908" w:rsidP="00764908">
      <w:pPr>
        <w:spacing w:after="0" w:line="480" w:lineRule="auto"/>
        <w:contextualSpacing/>
        <w:jc w:val="center"/>
        <w:rPr>
          <w:rFonts w:ascii="Times New Roman" w:hAnsi="Times New Roman" w:cs="Times New Roman"/>
          <w:b/>
          <w:color w:val="222222"/>
          <w:sz w:val="24"/>
          <w:szCs w:val="24"/>
          <w:shd w:val="clear" w:color="auto" w:fill="FFFFFF"/>
        </w:rPr>
      </w:pPr>
    </w:p>
    <w:p w:rsidR="00764908" w:rsidP="00764908">
      <w:pPr>
        <w:spacing w:after="0" w:line="480" w:lineRule="auto"/>
        <w:contextualSpacing/>
        <w:jc w:val="center"/>
        <w:rPr>
          <w:rFonts w:ascii="Times New Roman" w:hAnsi="Times New Roman" w:cs="Times New Roman"/>
          <w:b/>
          <w:color w:val="222222"/>
          <w:sz w:val="24"/>
          <w:szCs w:val="24"/>
          <w:shd w:val="clear" w:color="auto" w:fill="FFFFFF"/>
        </w:rPr>
      </w:pPr>
    </w:p>
    <w:p w:rsidR="00764908" w:rsidP="00764908">
      <w:pPr>
        <w:spacing w:after="0" w:line="480" w:lineRule="auto"/>
        <w:contextualSpacing/>
        <w:jc w:val="center"/>
        <w:rPr>
          <w:rFonts w:ascii="Times New Roman" w:hAnsi="Times New Roman" w:cs="Times New Roman"/>
          <w:b/>
          <w:color w:val="222222"/>
          <w:sz w:val="24"/>
          <w:szCs w:val="24"/>
          <w:shd w:val="clear" w:color="auto" w:fill="FFFFFF"/>
        </w:rPr>
      </w:pPr>
    </w:p>
    <w:p w:rsidR="00764908" w:rsidP="00764908">
      <w:pPr>
        <w:spacing w:after="0" w:line="480" w:lineRule="auto"/>
        <w:contextualSpacing/>
        <w:jc w:val="center"/>
        <w:rPr>
          <w:rFonts w:ascii="Times New Roman" w:hAnsi="Times New Roman" w:cs="Times New Roman"/>
          <w:b/>
          <w:color w:val="222222"/>
          <w:sz w:val="24"/>
          <w:szCs w:val="24"/>
          <w:shd w:val="clear" w:color="auto" w:fill="FFFFFF"/>
        </w:rPr>
      </w:pPr>
    </w:p>
    <w:p w:rsidR="00764908" w:rsidP="00764908">
      <w:pPr>
        <w:spacing w:after="0" w:line="480" w:lineRule="auto"/>
        <w:contextualSpacing/>
        <w:jc w:val="center"/>
        <w:rPr>
          <w:rFonts w:ascii="Times New Roman" w:hAnsi="Times New Roman" w:cs="Times New Roman"/>
          <w:b/>
          <w:color w:val="222222"/>
          <w:sz w:val="24"/>
          <w:szCs w:val="24"/>
          <w:shd w:val="clear" w:color="auto" w:fill="FFFFFF"/>
        </w:rPr>
      </w:pPr>
    </w:p>
    <w:p w:rsidR="00764908" w:rsidP="00764908">
      <w:pPr>
        <w:spacing w:after="0" w:line="480" w:lineRule="auto"/>
        <w:contextualSpacing/>
        <w:jc w:val="center"/>
        <w:rPr>
          <w:rFonts w:ascii="Times New Roman" w:hAnsi="Times New Roman" w:cs="Times New Roman"/>
          <w:b/>
          <w:color w:val="222222"/>
          <w:sz w:val="24"/>
          <w:szCs w:val="24"/>
          <w:shd w:val="clear" w:color="auto" w:fill="FFFFFF"/>
        </w:rPr>
      </w:pPr>
    </w:p>
    <w:p w:rsidR="00764908" w:rsidP="00764908">
      <w:pPr>
        <w:spacing w:after="0" w:line="480" w:lineRule="auto"/>
        <w:contextualSpacing/>
        <w:jc w:val="center"/>
        <w:rPr>
          <w:rFonts w:ascii="Times New Roman" w:hAnsi="Times New Roman" w:cs="Times New Roman"/>
          <w:b/>
          <w:color w:val="222222"/>
          <w:sz w:val="24"/>
          <w:szCs w:val="24"/>
          <w:shd w:val="clear" w:color="auto" w:fill="FFFFFF"/>
        </w:rPr>
      </w:pPr>
    </w:p>
    <w:p w:rsidR="00764908" w:rsidP="00764908">
      <w:pPr>
        <w:spacing w:after="0" w:line="480" w:lineRule="auto"/>
        <w:contextualSpacing/>
        <w:jc w:val="center"/>
        <w:rPr>
          <w:rFonts w:ascii="Times New Roman" w:hAnsi="Times New Roman" w:cs="Times New Roman"/>
          <w:b/>
          <w:color w:val="222222"/>
          <w:sz w:val="24"/>
          <w:szCs w:val="24"/>
          <w:shd w:val="clear" w:color="auto" w:fill="FFFFFF"/>
        </w:rPr>
      </w:pPr>
    </w:p>
    <w:p w:rsidR="00764908" w:rsidP="00764908">
      <w:pPr>
        <w:spacing w:after="0" w:line="480" w:lineRule="auto"/>
        <w:contextualSpacing/>
        <w:jc w:val="center"/>
        <w:rPr>
          <w:rFonts w:ascii="Times New Roman" w:hAnsi="Times New Roman" w:cs="Times New Roman"/>
          <w:b/>
          <w:color w:val="222222"/>
          <w:sz w:val="24"/>
          <w:szCs w:val="24"/>
          <w:shd w:val="clear" w:color="auto" w:fill="FFFFFF"/>
        </w:rPr>
      </w:pPr>
    </w:p>
    <w:p w:rsidR="00764908" w:rsidP="00764908">
      <w:pPr>
        <w:spacing w:after="0" w:line="480" w:lineRule="auto"/>
        <w:contextualSpacing/>
        <w:jc w:val="center"/>
        <w:rPr>
          <w:rFonts w:ascii="Times New Roman" w:hAnsi="Times New Roman" w:cs="Times New Roman"/>
          <w:b/>
          <w:color w:val="222222"/>
          <w:sz w:val="24"/>
          <w:szCs w:val="24"/>
          <w:shd w:val="clear" w:color="auto" w:fill="FFFFFF"/>
        </w:rPr>
      </w:pPr>
    </w:p>
    <w:p w:rsidR="00764908" w:rsidP="00764908">
      <w:pPr>
        <w:spacing w:after="0" w:line="480" w:lineRule="auto"/>
        <w:contextualSpacing/>
        <w:jc w:val="center"/>
        <w:rPr>
          <w:rFonts w:ascii="Times New Roman" w:hAnsi="Times New Roman" w:cs="Times New Roman"/>
          <w:b/>
          <w:color w:val="222222"/>
          <w:sz w:val="24"/>
          <w:szCs w:val="24"/>
          <w:shd w:val="clear" w:color="auto" w:fill="FFFFFF"/>
        </w:rPr>
      </w:pPr>
    </w:p>
    <w:p w:rsidR="00764908" w:rsidP="00764908">
      <w:pPr>
        <w:spacing w:after="0" w:line="480" w:lineRule="auto"/>
        <w:contextualSpacing/>
        <w:jc w:val="center"/>
        <w:rPr>
          <w:rFonts w:ascii="Times New Roman" w:hAnsi="Times New Roman" w:cs="Times New Roman"/>
          <w:b/>
          <w:color w:val="222222"/>
          <w:sz w:val="24"/>
          <w:szCs w:val="24"/>
          <w:shd w:val="clear" w:color="auto" w:fill="FFFFFF"/>
        </w:rPr>
      </w:pPr>
    </w:p>
    <w:p w:rsidR="00764908" w:rsidP="00764908">
      <w:pPr>
        <w:spacing w:after="0" w:line="480" w:lineRule="auto"/>
        <w:contextualSpacing/>
        <w:jc w:val="center"/>
        <w:rPr>
          <w:rFonts w:ascii="Times New Roman" w:hAnsi="Times New Roman" w:cs="Times New Roman"/>
          <w:b/>
          <w:color w:val="222222"/>
          <w:sz w:val="24"/>
          <w:szCs w:val="24"/>
          <w:shd w:val="clear" w:color="auto" w:fill="FFFFFF"/>
        </w:rPr>
      </w:pPr>
    </w:p>
    <w:p w:rsidR="00764908" w:rsidP="00764908">
      <w:pPr>
        <w:spacing w:after="0" w:line="480" w:lineRule="auto"/>
        <w:contextualSpacing/>
        <w:jc w:val="center"/>
        <w:rPr>
          <w:rFonts w:ascii="Times New Roman" w:hAnsi="Times New Roman" w:cs="Times New Roman"/>
          <w:b/>
          <w:color w:val="222222"/>
          <w:sz w:val="24"/>
          <w:szCs w:val="24"/>
          <w:shd w:val="clear" w:color="auto" w:fill="FFFFFF"/>
        </w:rPr>
      </w:pPr>
    </w:p>
    <w:p w:rsidR="00764908" w:rsidP="00764908">
      <w:pPr>
        <w:spacing w:after="0" w:line="480" w:lineRule="auto"/>
        <w:contextualSpacing/>
        <w:jc w:val="center"/>
        <w:rPr>
          <w:rFonts w:ascii="Times New Roman" w:hAnsi="Times New Roman" w:cs="Times New Roman"/>
          <w:b/>
          <w:color w:val="222222"/>
          <w:sz w:val="24"/>
          <w:szCs w:val="24"/>
          <w:shd w:val="clear" w:color="auto" w:fill="FFFFFF"/>
        </w:rPr>
      </w:pPr>
    </w:p>
    <w:p w:rsidR="00764908" w:rsidP="00764908">
      <w:pPr>
        <w:spacing w:after="0" w:line="480" w:lineRule="auto"/>
        <w:contextualSpacing/>
        <w:jc w:val="center"/>
        <w:rPr>
          <w:rFonts w:ascii="Times New Roman" w:hAnsi="Times New Roman" w:cs="Times New Roman"/>
          <w:b/>
          <w:color w:val="222222"/>
          <w:sz w:val="24"/>
          <w:szCs w:val="24"/>
          <w:shd w:val="clear" w:color="auto" w:fill="FFFFFF"/>
        </w:rPr>
      </w:pPr>
    </w:p>
    <w:p w:rsidR="00764908" w:rsidP="00764908">
      <w:pPr>
        <w:spacing w:after="0" w:line="480" w:lineRule="auto"/>
        <w:contextualSpacing/>
        <w:jc w:val="center"/>
        <w:rPr>
          <w:rFonts w:ascii="Times New Roman" w:hAnsi="Times New Roman" w:cs="Times New Roman"/>
          <w:b/>
          <w:color w:val="222222"/>
          <w:sz w:val="24"/>
          <w:szCs w:val="24"/>
          <w:shd w:val="clear" w:color="auto" w:fill="FFFFFF"/>
        </w:rPr>
      </w:pPr>
    </w:p>
    <w:p w:rsidR="00764908" w:rsidRPr="00764908" w:rsidP="00764908">
      <w:pPr>
        <w:spacing w:after="0" w:line="480" w:lineRule="auto"/>
        <w:contextualSpacing/>
        <w:jc w:val="center"/>
        <w:rPr>
          <w:rFonts w:ascii="Times New Roman" w:hAnsi="Times New Roman" w:cs="Times New Roman"/>
          <w:sz w:val="24"/>
          <w:szCs w:val="24"/>
        </w:rPr>
      </w:pPr>
      <w:r w:rsidRPr="00764908">
        <w:rPr>
          <w:rFonts w:ascii="Times New Roman" w:hAnsi="Times New Roman" w:cs="Times New Roman"/>
          <w:b/>
          <w:color w:val="222222"/>
          <w:sz w:val="24"/>
          <w:szCs w:val="24"/>
          <w:shd w:val="clear" w:color="auto" w:fill="FFFFFF"/>
        </w:rPr>
        <w:t>References</w:t>
      </w:r>
    </w:p>
    <w:p w:rsidR="00764908" w:rsidRPr="00764908" w:rsidP="00764908">
      <w:pPr>
        <w:spacing w:after="0" w:line="480" w:lineRule="auto"/>
        <w:ind w:left="720" w:hanging="720"/>
        <w:contextualSpacing/>
        <w:rPr>
          <w:rFonts w:ascii="Times New Roman" w:hAnsi="Times New Roman" w:cs="Times New Roman"/>
          <w:color w:val="000000"/>
          <w:sz w:val="24"/>
          <w:szCs w:val="24"/>
          <w:shd w:val="clear" w:color="auto" w:fill="FFFFFF"/>
        </w:rPr>
      </w:pPr>
      <w:r w:rsidRPr="00764908">
        <w:rPr>
          <w:rFonts w:ascii="Times New Roman" w:hAnsi="Times New Roman" w:cs="Times New Roman"/>
          <w:sz w:val="24"/>
          <w:szCs w:val="24"/>
        </w:rPr>
        <w:t xml:space="preserve">Carroll, J. (2016). The NLRB's Purple Communications Decision: E-mail, Property, and the Changing Patterns of Industrial Life. </w:t>
      </w:r>
      <w:r w:rsidRPr="00764908">
        <w:rPr>
          <w:rFonts w:ascii="Times New Roman" w:hAnsi="Times New Roman" w:cs="Times New Roman"/>
          <w:i/>
          <w:iCs/>
          <w:sz w:val="24"/>
          <w:szCs w:val="24"/>
        </w:rPr>
        <w:t>Duke L. &amp; Tech. Rev.</w:t>
      </w:r>
      <w:r w:rsidRPr="00764908">
        <w:rPr>
          <w:rFonts w:ascii="Times New Roman" w:hAnsi="Times New Roman" w:cs="Times New Roman"/>
          <w:sz w:val="24"/>
          <w:szCs w:val="24"/>
        </w:rPr>
        <w:t>, </w:t>
      </w:r>
      <w:r w:rsidRPr="00764908">
        <w:rPr>
          <w:rFonts w:ascii="Times New Roman" w:hAnsi="Times New Roman" w:cs="Times New Roman"/>
          <w:i/>
          <w:iCs/>
          <w:sz w:val="24"/>
          <w:szCs w:val="24"/>
        </w:rPr>
        <w:t>14</w:t>
      </w:r>
      <w:r w:rsidRPr="00764908">
        <w:rPr>
          <w:rFonts w:ascii="Times New Roman" w:hAnsi="Times New Roman" w:cs="Times New Roman"/>
          <w:sz w:val="24"/>
          <w:szCs w:val="24"/>
        </w:rPr>
        <w:t>, 280.</w:t>
      </w:r>
      <w:r w:rsidRPr="00764908">
        <w:rPr>
          <w:rFonts w:ascii="Times New Roman" w:hAnsi="Times New Roman" w:cs="Times New Roman"/>
          <w:color w:val="000000"/>
          <w:sz w:val="24"/>
          <w:szCs w:val="24"/>
          <w:shd w:val="clear" w:color="auto" w:fill="FFFFFF"/>
        </w:rPr>
        <w:t xml:space="preserve"> </w:t>
      </w:r>
    </w:p>
    <w:p w:rsidR="00764908" w:rsidRPr="00764908" w:rsidP="00764908">
      <w:pPr>
        <w:spacing w:after="0" w:line="480" w:lineRule="auto"/>
        <w:ind w:left="720" w:hanging="720"/>
        <w:contextualSpacing/>
        <w:rPr>
          <w:rFonts w:ascii="Times New Roman" w:hAnsi="Times New Roman" w:cs="Times New Roman"/>
          <w:color w:val="222222"/>
          <w:sz w:val="24"/>
          <w:szCs w:val="24"/>
          <w:shd w:val="clear" w:color="auto" w:fill="FFFFFF"/>
        </w:rPr>
      </w:pPr>
      <w:r w:rsidRPr="00764908">
        <w:rPr>
          <w:rFonts w:ascii="Times New Roman" w:hAnsi="Times New Roman" w:cs="Times New Roman"/>
          <w:sz w:val="24"/>
          <w:szCs w:val="24"/>
        </w:rPr>
        <w:t>Hirsch, J. M. (2018). Amicus Curiae Brief to the NLRB in Rio All-Suites Hotel &amp; Casino. </w:t>
      </w:r>
      <w:r w:rsidRPr="00764908">
        <w:rPr>
          <w:rFonts w:ascii="Times New Roman" w:hAnsi="Times New Roman" w:cs="Times New Roman"/>
          <w:i/>
          <w:iCs/>
          <w:sz w:val="24"/>
          <w:szCs w:val="24"/>
        </w:rPr>
        <w:t>UNC Legal</w:t>
      </w:r>
      <w:r w:rsidRPr="00764908">
        <w:rPr>
          <w:rFonts w:ascii="Times New Roman" w:hAnsi="Times New Roman" w:cs="Times New Roman"/>
          <w:i/>
          <w:iCs/>
          <w:sz w:val="24"/>
          <w:szCs w:val="24"/>
        </w:rPr>
        <w:t xml:space="preserve"> Studies Research Paper</w:t>
      </w:r>
      <w:r w:rsidRPr="00764908">
        <w:rPr>
          <w:rFonts w:ascii="Times New Roman" w:hAnsi="Times New Roman" w:cs="Times New Roman"/>
          <w:sz w:val="24"/>
          <w:szCs w:val="24"/>
        </w:rPr>
        <w:t>.</w:t>
      </w:r>
      <w:r w:rsidRPr="00764908">
        <w:rPr>
          <w:rFonts w:ascii="Times New Roman" w:hAnsi="Times New Roman" w:cs="Times New Roman"/>
          <w:color w:val="222222"/>
          <w:sz w:val="24"/>
          <w:szCs w:val="24"/>
          <w:shd w:val="clear" w:color="auto" w:fill="FFFFFF"/>
        </w:rPr>
        <w:t xml:space="preserve"> </w:t>
      </w:r>
    </w:p>
    <w:p w:rsidR="00764908" w:rsidRPr="00764908" w:rsidP="00764908">
      <w:pPr>
        <w:spacing w:after="0" w:line="480" w:lineRule="auto"/>
        <w:ind w:left="720" w:hanging="720"/>
        <w:contextualSpacing/>
        <w:rPr>
          <w:rFonts w:ascii="Times New Roman" w:hAnsi="Times New Roman" w:cs="Times New Roman"/>
          <w:sz w:val="24"/>
          <w:szCs w:val="24"/>
        </w:rPr>
      </w:pPr>
      <w:r w:rsidRPr="00764908">
        <w:rPr>
          <w:rFonts w:ascii="Times New Roman" w:hAnsi="Times New Roman" w:cs="Times New Roman"/>
          <w:sz w:val="24"/>
          <w:szCs w:val="24"/>
        </w:rPr>
        <w:t>nlrb.gov. (n.d.). </w:t>
      </w:r>
      <w:r w:rsidRPr="00764908">
        <w:rPr>
          <w:rFonts w:ascii="Times New Roman" w:hAnsi="Times New Roman" w:cs="Times New Roman"/>
          <w:i/>
          <w:iCs/>
          <w:sz w:val="24"/>
          <w:szCs w:val="24"/>
        </w:rPr>
        <w:t>National Labor Relations Act | National labor relations board</w:t>
      </w:r>
      <w:r w:rsidRPr="00764908">
        <w:rPr>
          <w:rFonts w:ascii="Times New Roman" w:hAnsi="Times New Roman" w:cs="Times New Roman"/>
          <w:sz w:val="24"/>
          <w:szCs w:val="24"/>
        </w:rPr>
        <w:t>. </w:t>
      </w:r>
      <w:hyperlink r:id="rId4" w:history="1">
        <w:r w:rsidRPr="00764908">
          <w:rPr>
            <w:rStyle w:val="Hyperlink"/>
            <w:rFonts w:ascii="Times New Roman" w:hAnsi="Times New Roman" w:cs="Times New Roman"/>
            <w:sz w:val="24"/>
            <w:szCs w:val="24"/>
          </w:rPr>
          <w:t>https://www.nlrb.gov/guidance/key-reference-materials/ley-de-relaciones-obrero-patronales</w:t>
        </w:r>
      </w:hyperlink>
    </w:p>
    <w:sectPr>
      <w:headerReference w:type="default" r:id="rI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280413253"/>
      <w:docPartObj>
        <w:docPartGallery w:val="Page Numbers (Top of Page)"/>
        <w:docPartUnique/>
      </w:docPartObj>
    </w:sdtPr>
    <w:sdtEndPr>
      <w:rPr>
        <w:noProof/>
      </w:rPr>
    </w:sdtEndPr>
    <w:sdtContent>
      <w:p w:rsidR="00B516F2">
        <w:pPr>
          <w:pStyle w:val="Header"/>
          <w:jc w:val="right"/>
        </w:pPr>
        <w:r>
          <w:fldChar w:fldCharType="begin"/>
        </w:r>
        <w:r>
          <w:instrText xml:space="preserve"> PAGE   \* MERGEFORMAT </w:instrText>
        </w:r>
        <w:r>
          <w:fldChar w:fldCharType="separate"/>
        </w:r>
        <w:r w:rsidR="00126450">
          <w:rPr>
            <w:noProof/>
          </w:rPr>
          <w:t>5</w:t>
        </w:r>
        <w:r>
          <w:rPr>
            <w:noProof/>
          </w:rPr>
          <w:fldChar w:fldCharType="end"/>
        </w:r>
      </w:p>
    </w:sdtContent>
  </w:sdt>
  <w:p w:rsidR="00B516F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16F2"/>
    <w:rsid w:val="00094CBB"/>
    <w:rsid w:val="000C3123"/>
    <w:rsid w:val="00111E4F"/>
    <w:rsid w:val="0011405C"/>
    <w:rsid w:val="00126450"/>
    <w:rsid w:val="00265C72"/>
    <w:rsid w:val="003222BE"/>
    <w:rsid w:val="003E4FBF"/>
    <w:rsid w:val="00417F63"/>
    <w:rsid w:val="004D4C83"/>
    <w:rsid w:val="005A7204"/>
    <w:rsid w:val="0071616E"/>
    <w:rsid w:val="00764908"/>
    <w:rsid w:val="008F1660"/>
    <w:rsid w:val="009A17B0"/>
    <w:rsid w:val="009F16EB"/>
    <w:rsid w:val="00B516F2"/>
    <w:rsid w:val="00B57702"/>
    <w:rsid w:val="00B652A9"/>
    <w:rsid w:val="00D610D3"/>
    <w:rsid w:val="00DB0225"/>
    <w:rsid w:val="00EE35DB"/>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DCA5629C-1E24-4F0B-9C94-4ACF5BF5C5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516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16F2"/>
  </w:style>
  <w:style w:type="paragraph" w:styleId="Footer">
    <w:name w:val="footer"/>
    <w:basedOn w:val="Normal"/>
    <w:link w:val="FooterChar"/>
    <w:uiPriority w:val="99"/>
    <w:unhideWhenUsed/>
    <w:rsid w:val="00B516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16F2"/>
  </w:style>
  <w:style w:type="character" w:styleId="Hyperlink">
    <w:name w:val="Hyperlink"/>
    <w:basedOn w:val="DefaultParagraphFont"/>
    <w:uiPriority w:val="99"/>
    <w:unhideWhenUsed/>
    <w:rsid w:val="0076490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nlrb.gov/guidance/key-reference-materials/ley-de-relaciones-obrero-patronales" TargetMode="External" /><Relationship Id="rId5" Type="http://schemas.openxmlformats.org/officeDocument/2006/relationships/header" Target="header1.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91</TotalTime>
  <Pages>5</Pages>
  <Words>790</Words>
  <Characters>4508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 User</dc:creator>
  <cp:lastModifiedBy>Lenovo User</cp:lastModifiedBy>
  <cp:revision>16</cp:revision>
  <dcterms:created xsi:type="dcterms:W3CDTF">2021-10-09T08:01:00Z</dcterms:created>
  <dcterms:modified xsi:type="dcterms:W3CDTF">2021-10-09T09:40:00Z</dcterms:modified>
</cp:coreProperties>
</file>